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5131D90D"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w:t>
      </w:r>
      <w:r w:rsidR="00AE54FC">
        <w:rPr>
          <w:rFonts w:eastAsia="SimSun" w:cs="Arial"/>
          <w:b/>
          <w:noProof/>
          <w:sz w:val="22"/>
          <w:szCs w:val="22"/>
          <w:lang w:eastAsia="zh-CN"/>
        </w:rPr>
        <w:t>9-e</w:t>
      </w:r>
      <w:r w:rsidRPr="00F13442">
        <w:rPr>
          <w:rFonts w:eastAsia="SimSun" w:cs="Arial"/>
          <w:b/>
          <w:noProof/>
          <w:sz w:val="22"/>
          <w:szCs w:val="22"/>
          <w:lang w:eastAsia="zh-CN"/>
        </w:rPr>
        <w:tab/>
      </w:r>
      <w:r w:rsidRPr="00D52B34">
        <w:rPr>
          <w:rFonts w:eastAsia="SimSun" w:cs="Arial"/>
          <w:b/>
          <w:noProof/>
          <w:sz w:val="22"/>
          <w:szCs w:val="22"/>
        </w:rPr>
        <w:t>R2-</w:t>
      </w:r>
      <w:r w:rsidR="006C4443" w:rsidRPr="006C4443">
        <w:rPr>
          <w:rFonts w:eastAsia="SimSun" w:cs="Arial"/>
          <w:b/>
          <w:noProof/>
          <w:sz w:val="22"/>
          <w:szCs w:val="22"/>
        </w:rPr>
        <w:t>20</w:t>
      </w:r>
      <w:r w:rsidR="0031226C" w:rsidRPr="0031226C">
        <w:rPr>
          <w:rFonts w:eastAsia="SimSun" w:cs="Arial"/>
          <w:b/>
          <w:noProof/>
          <w:sz w:val="22"/>
          <w:szCs w:val="22"/>
        </w:rPr>
        <w:t>01605</w:t>
      </w:r>
      <w:r w:rsidRPr="00F13442">
        <w:rPr>
          <w:rFonts w:eastAsia="SimSun" w:cs="Arial"/>
          <w:b/>
          <w:noProof/>
          <w:sz w:val="22"/>
          <w:szCs w:val="22"/>
        </w:rPr>
        <w:tab/>
      </w:r>
    </w:p>
    <w:p w14:paraId="1A3C4CA4" w14:textId="28F32D8D" w:rsidR="0097006C" w:rsidRPr="00E803E2" w:rsidRDefault="00AE54FC" w:rsidP="00F44E64">
      <w:pPr>
        <w:pStyle w:val="Header"/>
        <w:tabs>
          <w:tab w:val="right" w:pos="9630"/>
        </w:tabs>
        <w:rPr>
          <w:rFonts w:eastAsia="SimSun" w:cs="SimHei"/>
          <w:sz w:val="24"/>
          <w:szCs w:val="22"/>
        </w:rPr>
      </w:pPr>
      <w:r>
        <w:rPr>
          <w:rFonts w:eastAsia="MS Mincho"/>
          <w:sz w:val="24"/>
        </w:rPr>
        <w:t>E-meeting</w:t>
      </w:r>
      <w:r w:rsidRPr="0076784F">
        <w:rPr>
          <w:rFonts w:eastAsia="MS Mincho"/>
          <w:sz w:val="24"/>
        </w:rPr>
        <w:t xml:space="preserve">, </w:t>
      </w:r>
      <w:r>
        <w:rPr>
          <w:rFonts w:eastAsia="MS Mincho"/>
          <w:sz w:val="24"/>
        </w:rPr>
        <w:t>February</w:t>
      </w:r>
      <w:r w:rsidRPr="0076784F">
        <w:rPr>
          <w:rFonts w:eastAsia="MS Mincho"/>
          <w:sz w:val="24"/>
        </w:rPr>
        <w:t xml:space="preserve"> </w:t>
      </w:r>
      <w:r>
        <w:rPr>
          <w:rFonts w:eastAsia="MS Mincho"/>
          <w:sz w:val="24"/>
        </w:rPr>
        <w:t>24</w:t>
      </w:r>
      <w:r w:rsidRPr="0076784F">
        <w:rPr>
          <w:rFonts w:eastAsia="MS Mincho"/>
          <w:sz w:val="24"/>
        </w:rPr>
        <w:t xml:space="preserve">th – </w:t>
      </w:r>
      <w:r w:rsidR="002D5CB5">
        <w:rPr>
          <w:rFonts w:eastAsia="MS Mincho"/>
          <w:sz w:val="24"/>
        </w:rPr>
        <w:t>March 6</w:t>
      </w:r>
      <w:r w:rsidRPr="0076784F">
        <w:rPr>
          <w:rFonts w:eastAsia="MS Mincho"/>
          <w:sz w:val="24"/>
        </w:rPr>
        <w:t>th, 20</w:t>
      </w:r>
      <w:r w:rsidR="002D5CB5">
        <w:rPr>
          <w:rFonts w:eastAsia="MS Mincho"/>
          <w:sz w:val="24"/>
        </w:rPr>
        <w:t>20</w:t>
      </w:r>
      <w:r w:rsidR="00F44E64">
        <w:rPr>
          <w:rFonts w:eastAsia="SimSun" w:cs="Arial"/>
          <w:sz w:val="22"/>
          <w:szCs w:val="22"/>
        </w:rPr>
        <w:tab/>
      </w:r>
      <w:r w:rsidR="00362A6B">
        <w:rPr>
          <w:rFonts w:eastAsia="SimSun" w:cs="SimHei"/>
          <w:sz w:val="24"/>
          <w:szCs w:val="22"/>
        </w:rPr>
        <w:tab/>
      </w:r>
      <w:r w:rsidR="003D5447">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634FA628"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A47E81" w:rsidRPr="00A47E81">
        <w:rPr>
          <w:rFonts w:cs="SimHei"/>
          <w:bCs/>
          <w:sz w:val="24"/>
        </w:rPr>
        <w:t>Differential barring for IAB nodes and UEs</w:t>
      </w:r>
    </w:p>
    <w:p w14:paraId="726F9762" w14:textId="605F820F" w:rsidR="005C0843" w:rsidRPr="000345C2" w:rsidRDefault="005C0843" w:rsidP="005C0843">
      <w:pPr>
        <w:pStyle w:val="3GPPHeader"/>
      </w:pPr>
      <w:r>
        <w:t>Agenda Item:</w:t>
      </w:r>
      <w:r>
        <w:tab/>
      </w:r>
      <w:r w:rsidR="00C6131A" w:rsidRPr="00C6131A">
        <w:rPr>
          <w:b w:val="0"/>
        </w:rPr>
        <w:t>6.1.5</w:t>
      </w:r>
      <w:r w:rsidR="00A47E81">
        <w:rPr>
          <w:b w:val="0"/>
        </w:rPr>
        <w:t>.3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5E5587BF" w:rsidR="00B23CD2" w:rsidRDefault="00EF5AD3" w:rsidP="00377784">
      <w:pPr>
        <w:pStyle w:val="B1"/>
        <w:spacing w:after="120"/>
        <w:ind w:left="0" w:firstLine="0"/>
      </w:pPr>
      <w:r>
        <w:t>In the</w:t>
      </w:r>
      <w:r w:rsidR="00B23CD2">
        <w:t xml:space="preserve"> RAN2 #10</w:t>
      </w:r>
      <w:r w:rsidR="00D21296">
        <w:t>8</w:t>
      </w:r>
      <w:r w:rsidR="00B23CD2">
        <w:t xml:space="preserve"> meeting</w:t>
      </w:r>
      <w:r w:rsidR="00A35D19">
        <w:t xml:space="preserve"> [1]</w:t>
      </w:r>
      <w:r w:rsidR="00B23CD2">
        <w:t xml:space="preserve">, </w:t>
      </w:r>
      <w:r w:rsidR="00F44E64">
        <w:t xml:space="preserve">RAN2 </w:t>
      </w:r>
      <w:r w:rsidR="00D21296">
        <w:t>reviewed the results of e-mail discussion [2] and reached the following agreements</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2D099ED3" w14:textId="77777777" w:rsidR="00D21296" w:rsidRDefault="00D21296" w:rsidP="00D21296">
            <w:pPr>
              <w:pStyle w:val="Agreement"/>
              <w:numPr>
                <w:ilvl w:val="0"/>
                <w:numId w:val="33"/>
              </w:numPr>
            </w:pPr>
            <w:bookmarkStart w:id="3" w:name="_Hlk32521835"/>
            <w:r w:rsidRPr="0032260E">
              <w:t>Both support of IAB node(s) and the cell status for IAB node(s) is combined in a single IE</w:t>
            </w:r>
            <w:r>
              <w:t>,</w:t>
            </w:r>
            <w:r w:rsidRPr="0032260E">
              <w:t xml:space="preserve"> i.e. if the IE is present, the cell supports IABs and the cell is also considered as a candidate</w:t>
            </w:r>
            <w:r>
              <w:t xml:space="preserve"> for IABs</w:t>
            </w:r>
            <w:r w:rsidRPr="0032260E">
              <w:t>; if the IE is absent, the cell does not support IAB and/or the cell is barred for IAB</w:t>
            </w:r>
            <w:r>
              <w:t xml:space="preserve">. </w:t>
            </w:r>
          </w:p>
          <w:bookmarkEnd w:id="3"/>
          <w:p w14:paraId="651EC29E" w14:textId="77777777" w:rsidR="00D21296" w:rsidRDefault="00D21296" w:rsidP="00D21296">
            <w:pPr>
              <w:pStyle w:val="Agreement"/>
              <w:numPr>
                <w:ilvl w:val="0"/>
                <w:numId w:val="33"/>
              </w:numPr>
            </w:pPr>
            <w:r>
              <w:t>This IE can be provided per PLMN.</w:t>
            </w:r>
          </w:p>
          <w:p w14:paraId="681D098D" w14:textId="77777777" w:rsidR="00D21296" w:rsidRPr="00D21296" w:rsidRDefault="00D21296" w:rsidP="00D21296">
            <w:pPr>
              <w:pStyle w:val="Agreement"/>
              <w:numPr>
                <w:ilvl w:val="0"/>
                <w:numId w:val="33"/>
              </w:numPr>
              <w:rPr>
                <w:highlight w:val="yellow"/>
              </w:rPr>
            </w:pPr>
            <w:r w:rsidRPr="00D21296">
              <w:rPr>
                <w:highlight w:val="yellow"/>
              </w:rPr>
              <w:t xml:space="preserve">The case that UEs are barred but IAB nodes are allowed to access shall be supported. FFS if this is supported by MIB: </w:t>
            </w:r>
            <w:proofErr w:type="spellStart"/>
            <w:r w:rsidRPr="00D21296">
              <w:rPr>
                <w:highlight w:val="yellow"/>
              </w:rPr>
              <w:t>CellBarred</w:t>
            </w:r>
            <w:proofErr w:type="spellEnd"/>
            <w:r w:rsidRPr="00D21296">
              <w:rPr>
                <w:highlight w:val="yellow"/>
              </w:rPr>
              <w:t xml:space="preserve"> (i.e. IAB MT ignores the MIB </w:t>
            </w:r>
            <w:proofErr w:type="spellStart"/>
            <w:r w:rsidRPr="00D21296">
              <w:rPr>
                <w:highlight w:val="yellow"/>
              </w:rPr>
              <w:t>cellBarred</w:t>
            </w:r>
            <w:proofErr w:type="spellEnd"/>
            <w:r w:rsidRPr="00D21296">
              <w:rPr>
                <w:highlight w:val="yellow"/>
              </w:rPr>
              <w:t xml:space="preserve"> when set) or SIB1: </w:t>
            </w:r>
            <w:proofErr w:type="spellStart"/>
            <w:r w:rsidRPr="00D21296">
              <w:rPr>
                <w:highlight w:val="yellow"/>
              </w:rPr>
              <w:t>CellReservations</w:t>
            </w:r>
            <w:proofErr w:type="spellEnd"/>
            <w:r w:rsidRPr="00D21296">
              <w:rPr>
                <w:highlight w:val="yellow"/>
              </w:rPr>
              <w:t xml:space="preserve"> (i.e. IAB MT ignores SIB cell reservations, or has an access identity that allow access)</w:t>
            </w:r>
          </w:p>
          <w:p w14:paraId="3D04647A" w14:textId="77777777" w:rsidR="00D21296" w:rsidRDefault="00D21296" w:rsidP="00D21296">
            <w:pPr>
              <w:pStyle w:val="Agreement"/>
              <w:numPr>
                <w:ilvl w:val="0"/>
                <w:numId w:val="33"/>
              </w:numPr>
            </w:pPr>
            <w:r>
              <w:t>No new</w:t>
            </w:r>
            <w:r w:rsidRPr="00FA0336">
              <w:t xml:space="preserve"> Establishment Cause values </w:t>
            </w:r>
            <w:r>
              <w:t>in RRC Connection Setup are defined.</w:t>
            </w:r>
          </w:p>
          <w:p w14:paraId="6C8F78A1" w14:textId="77777777" w:rsidR="00D21296" w:rsidRDefault="00D21296" w:rsidP="00D21296">
            <w:pPr>
              <w:pStyle w:val="Agreement"/>
              <w:numPr>
                <w:ilvl w:val="0"/>
                <w:numId w:val="33"/>
              </w:numPr>
            </w:pPr>
            <w:r>
              <w:t>No new</w:t>
            </w:r>
            <w:r w:rsidRPr="00FA0336">
              <w:t xml:space="preserve"> </w:t>
            </w:r>
            <w:r>
              <w:t>Re-e</w:t>
            </w:r>
            <w:r w:rsidRPr="00FA0336">
              <w:t xml:space="preserve">stablishment Cause values </w:t>
            </w:r>
            <w:r>
              <w:t>are defined.</w:t>
            </w:r>
          </w:p>
          <w:p w14:paraId="124F0D61" w14:textId="7F319AB9" w:rsidR="00E63F90" w:rsidRPr="00F44E64" w:rsidRDefault="00E63F90" w:rsidP="00D21296">
            <w:pPr>
              <w:pStyle w:val="B1"/>
              <w:numPr>
                <w:ilvl w:val="0"/>
                <w:numId w:val="33"/>
              </w:numPr>
              <w:rPr>
                <w:b/>
              </w:rPr>
            </w:pPr>
          </w:p>
        </w:tc>
      </w:tr>
    </w:tbl>
    <w:p w14:paraId="7DFC2800" w14:textId="77777777" w:rsidR="000D4D53" w:rsidRDefault="000D4D53" w:rsidP="000D4D53"/>
    <w:p w14:paraId="4D979324" w14:textId="211B62B8" w:rsidR="00377784" w:rsidRDefault="00D21296" w:rsidP="00377784">
      <w:pPr>
        <w:pStyle w:val="B1"/>
        <w:spacing w:after="120"/>
        <w:ind w:left="0" w:firstLine="0"/>
      </w:pPr>
      <w:r>
        <w:t xml:space="preserve">As a result of these agreements, a new IE </w:t>
      </w:r>
      <w:proofErr w:type="spellStart"/>
      <w:r w:rsidRPr="00D21296">
        <w:rPr>
          <w:i/>
          <w:iCs/>
        </w:rPr>
        <w:t>iab</w:t>
      </w:r>
      <w:proofErr w:type="spellEnd"/>
      <w:r w:rsidRPr="00D21296">
        <w:rPr>
          <w:i/>
          <w:iCs/>
        </w:rPr>
        <w:t>-Support</w:t>
      </w:r>
      <w:r>
        <w:t xml:space="preserve"> has been proposed to be included in SIB1 to indicate support/barring for IAB nodes. However, as indicated by the agreements above, two options were proposed on how to achieve differential barring for UEs and IAB nodes, but without any agreement being reached on this point. </w:t>
      </w:r>
      <w:r w:rsidR="000D4D53">
        <w:t>In</w:t>
      </w:r>
      <w:r w:rsidR="00EF5AD3">
        <w:t xml:space="preserve"> t</w:t>
      </w:r>
      <w:r w:rsidR="00377784">
        <w:t>his paper</w:t>
      </w:r>
      <w:r w:rsidR="00EF5AD3">
        <w:t xml:space="preserve">, we </w:t>
      </w:r>
      <w:r w:rsidR="00993F33">
        <w:t xml:space="preserve">very </w:t>
      </w:r>
      <w:r>
        <w:t>briefly discuss this topic</w:t>
      </w:r>
      <w:r w:rsidR="00377784">
        <w:t>.</w:t>
      </w:r>
    </w:p>
    <w:p w14:paraId="4AF4B1C1" w14:textId="2428CC5B" w:rsidR="000D4D53" w:rsidRDefault="006B2C07" w:rsidP="000D4D53">
      <w:pPr>
        <w:pStyle w:val="Heading1"/>
        <w:spacing w:before="120"/>
        <w:ind w:left="431" w:hanging="431"/>
        <w:rPr>
          <w:rFonts w:eastAsia="SimSun"/>
          <w:lang w:val="en-US"/>
        </w:rPr>
      </w:pPr>
      <w:r>
        <w:rPr>
          <w:rFonts w:eastAsia="SimSun"/>
          <w:lang w:val="en-US"/>
        </w:rPr>
        <w:t>Discussion</w:t>
      </w:r>
    </w:p>
    <w:p w14:paraId="077F187C" w14:textId="32824691" w:rsidR="001708C4" w:rsidRDefault="001708C4" w:rsidP="000D4D53">
      <w:r w:rsidRPr="000225DA">
        <w:t xml:space="preserve">As </w:t>
      </w:r>
      <w:r>
        <w:t xml:space="preserve">discussed in the introduction section, RAN2 agreed in RAN2#108 to support the case that UEs are barred, but IAB nodes are allowed to access on a particular cell. A typical case where this would be desirable is for NSA option b illustrated in Figure 1 below. In this case, the </w:t>
      </w:r>
      <w:proofErr w:type="spellStart"/>
      <w:r>
        <w:t>SgNB</w:t>
      </w:r>
      <w:proofErr w:type="spellEnd"/>
      <w:r>
        <w:t xml:space="preserve"> needs to support access by IAB nodes, but may be configured to bar access from UEs (such that UEs always access the network via the LTE coverage layer).</w:t>
      </w:r>
    </w:p>
    <w:p w14:paraId="35A1D8DD" w14:textId="67223074" w:rsidR="001708C4" w:rsidRDefault="001708C4" w:rsidP="001708C4">
      <w:pPr>
        <w:jc w:val="center"/>
      </w:pPr>
      <w:r>
        <w:rPr>
          <w:noProof/>
          <w:lang w:eastAsia="ko-KR"/>
        </w:rPr>
        <w:drawing>
          <wp:inline distT="0" distB="0" distL="0" distR="0" wp14:anchorId="25A9C5FB" wp14:editId="6F35F7C8">
            <wp:extent cx="1389888" cy="1581912"/>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888" cy="1581912"/>
                    </a:xfrm>
                    <a:prstGeom prst="rect">
                      <a:avLst/>
                    </a:prstGeom>
                  </pic:spPr>
                </pic:pic>
              </a:graphicData>
            </a:graphic>
          </wp:inline>
        </w:drawing>
      </w:r>
    </w:p>
    <w:p w14:paraId="4733BF1F" w14:textId="13B810C5" w:rsidR="001708C4" w:rsidRPr="008B6344" w:rsidRDefault="001708C4" w:rsidP="001708C4">
      <w:pPr>
        <w:jc w:val="center"/>
        <w:rPr>
          <w:rFonts w:eastAsia="Times New Roman"/>
        </w:rPr>
      </w:pPr>
      <w:r w:rsidRPr="008B6344">
        <w:rPr>
          <w:rFonts w:eastAsia="Times New Roman"/>
        </w:rPr>
        <w:lastRenderedPageBreak/>
        <w:t xml:space="preserve">Figure </w:t>
      </w:r>
      <w:r>
        <w:rPr>
          <w:rFonts w:eastAsia="Times New Roman"/>
        </w:rPr>
        <w:t>1</w:t>
      </w:r>
      <w:r w:rsidRPr="008B6344">
        <w:rPr>
          <w:rFonts w:eastAsia="Times New Roman"/>
        </w:rPr>
        <w:t xml:space="preserve">. </w:t>
      </w:r>
      <w:r>
        <w:rPr>
          <w:rFonts w:eastAsia="Times New Roman"/>
        </w:rPr>
        <w:t>NSA option b</w:t>
      </w:r>
    </w:p>
    <w:p w14:paraId="3B92D0A0" w14:textId="77777777" w:rsidR="001708C4" w:rsidRDefault="001708C4" w:rsidP="000D4D53"/>
    <w:p w14:paraId="0DF333E1" w14:textId="616DDB53" w:rsidR="001708C4" w:rsidRDefault="001708C4" w:rsidP="001708C4">
      <w:r>
        <w:t>Another scenario where this may be desirable is during the deployment and configuration of an IAB network.</w:t>
      </w:r>
      <w:r w:rsidR="00A34C60">
        <w:t xml:space="preserve"> In this case, the operator may deploy IAB nodes in stages. It may be important for deployment purposes to allow a new IAB node to integrate into the network via previously integrated IAB nodes, while at the same time not allowing regular UEs to access the cells of the already integrated IAB nodes. Once a sufficient network of IAB nodes have been established, then the operator may remove barring from all the deployed IAB nodes (or a substantial subset) to enable regular UEs to begin to utilize them.</w:t>
      </w:r>
    </w:p>
    <w:p w14:paraId="4E83E162" w14:textId="15AEE674" w:rsidR="00A34C60" w:rsidRDefault="00A34C60" w:rsidP="001708C4">
      <w:r>
        <w:t>In such scenarios, it seems desirable to use MIB cell barring to block the access from regular UEs. A UE detecting that the IAB node cell is barred, can immediately reselect to another cell or another frequency, without having to further read system information (such as SIB 1). If the UE needs to read SIB1 before it can determine that that the cell is barred, this will add delay to the cell selection process, and could at best prove an annoyance to the end user. In some scenarios, this additional time to select a cell suitable for the UE to access may be more critical (e.g. in the case of an emergency call). Therefore, it seems desirable to be able to bar UEs using the MIB cell barred indication while allowing IAB nodes to access the network.</w:t>
      </w:r>
    </w:p>
    <w:p w14:paraId="71CBAF3A" w14:textId="71ABB32B" w:rsidR="00A34C60" w:rsidRDefault="00A34C60" w:rsidP="001708C4">
      <w:pPr>
        <w:rPr>
          <w:b/>
        </w:rPr>
      </w:pPr>
      <w:r>
        <w:rPr>
          <w:b/>
        </w:rPr>
        <w:t>Observation</w:t>
      </w:r>
      <w:r w:rsidRPr="007667E2">
        <w:rPr>
          <w:b/>
        </w:rPr>
        <w:t xml:space="preserve">: </w:t>
      </w:r>
      <w:r>
        <w:rPr>
          <w:b/>
        </w:rPr>
        <w:t>It is desirable for regular UEs to detect that a cell is barred, and to be able to reselect to a different cell or frequency with minimal delay</w:t>
      </w:r>
    </w:p>
    <w:p w14:paraId="042AD28A" w14:textId="350C9910" w:rsidR="00A34C60" w:rsidRDefault="00A34C60" w:rsidP="001708C4">
      <w:r w:rsidRPr="00A34C60">
        <w:rPr>
          <w:bCs/>
        </w:rPr>
        <w:t>On the o</w:t>
      </w:r>
      <w:r>
        <w:rPr>
          <w:bCs/>
        </w:rPr>
        <w:t xml:space="preserve">ther hand, and IAB node MT very rarely needs to perform cell selection or reselection. </w:t>
      </w:r>
      <w:r w:rsidR="006F1EF4">
        <w:rPr>
          <w:bCs/>
        </w:rPr>
        <w:t>Typically,</w:t>
      </w:r>
      <w:r>
        <w:rPr>
          <w:bCs/>
        </w:rPr>
        <w:t xml:space="preserve"> </w:t>
      </w:r>
      <w:bookmarkStart w:id="4" w:name="_GoBack"/>
      <w:bookmarkEnd w:id="4"/>
      <w:r>
        <w:rPr>
          <w:bCs/>
        </w:rPr>
        <w:t xml:space="preserve">this happens during initial integration of the IAB node. It is far less critical if an IAB node takes some additional time to discover that a particular cell does not support IAB operation. Since it has already been agreed to include a new IE (e.g. </w:t>
      </w:r>
      <w:proofErr w:type="spellStart"/>
      <w:r w:rsidRPr="00D21296">
        <w:rPr>
          <w:i/>
          <w:iCs/>
        </w:rPr>
        <w:t>iab</w:t>
      </w:r>
      <w:proofErr w:type="spellEnd"/>
      <w:r w:rsidRPr="00D21296">
        <w:rPr>
          <w:i/>
          <w:iCs/>
        </w:rPr>
        <w:t>-Support</w:t>
      </w:r>
      <w:r>
        <w:t xml:space="preserve"> in SIB1) to indicate support/barring of IAB nodes. Therefore, it seems straight forward that an IAB node should be allowed to read SIB1, even if the MIB indicates that the cell is barred. Once SIB1 has been read by the IAB node, it can determine if the cell supports IAB operation, or if IAB operation is barred from this cell. And if so, it can then access via the cell, or reselect to another cell, as </w:t>
      </w:r>
      <w:r w:rsidR="007D3915">
        <w:t>appropriate</w:t>
      </w:r>
      <w:r>
        <w:t>.</w:t>
      </w:r>
      <w:r w:rsidR="007D3915">
        <w:t xml:space="preserve"> Thus</w:t>
      </w:r>
      <w:r w:rsidR="006F1EF4">
        <w:t>,</w:t>
      </w:r>
      <w:r w:rsidR="007D3915">
        <w:t xml:space="preserve"> the simplest and most straightforward approach to achieve differential cell barring for UEs and IAB nodes is for an IAB node to ignore the </w:t>
      </w:r>
      <w:proofErr w:type="spellStart"/>
      <w:r w:rsidR="007D3915" w:rsidRPr="007D3915">
        <w:rPr>
          <w:i/>
          <w:iCs/>
        </w:rPr>
        <w:t>CellBarred</w:t>
      </w:r>
      <w:proofErr w:type="spellEnd"/>
      <w:r w:rsidR="007D3915">
        <w:t xml:space="preserve"> IE in the </w:t>
      </w:r>
      <w:r w:rsidR="006F1EF4">
        <w:t>MIB and</w:t>
      </w:r>
      <w:r w:rsidR="007D3915">
        <w:t xml:space="preserve"> read SIB1 to determine support/barring for IAB nodes.</w:t>
      </w:r>
    </w:p>
    <w:p w14:paraId="1339E213" w14:textId="370BC893" w:rsidR="007D3915" w:rsidRPr="00A34C60" w:rsidRDefault="007D3915" w:rsidP="001708C4">
      <w:pPr>
        <w:rPr>
          <w:bCs/>
        </w:rPr>
      </w:pPr>
      <w:r w:rsidRPr="007667E2">
        <w:rPr>
          <w:b/>
        </w:rPr>
        <w:t xml:space="preserve">Proposal: </w:t>
      </w:r>
      <w:r>
        <w:rPr>
          <w:b/>
        </w:rPr>
        <w:t>An IAB node MT</w:t>
      </w:r>
      <w:r w:rsidRPr="007D3915">
        <w:rPr>
          <w:b/>
        </w:rPr>
        <w:t xml:space="preserve"> ignores the value of MIB </w:t>
      </w:r>
      <w:proofErr w:type="spellStart"/>
      <w:r w:rsidRPr="007D3915">
        <w:rPr>
          <w:b/>
        </w:rPr>
        <w:t>cellBarred</w:t>
      </w:r>
      <w:proofErr w:type="spellEnd"/>
    </w:p>
    <w:p w14:paraId="1320850C" w14:textId="13641CD3" w:rsidR="007D3915" w:rsidRDefault="007D3915" w:rsidP="001708C4">
      <w:r>
        <w:t>Per this proposal, the following 4 cases can be supported with the indicated IE settings:</w:t>
      </w:r>
    </w:p>
    <w:p w14:paraId="6BEE7DCC" w14:textId="657BE99E" w:rsidR="001708C4" w:rsidRPr="007D3915" w:rsidRDefault="001708C4" w:rsidP="001708C4">
      <w:r>
        <w:t>Case 1</w:t>
      </w:r>
      <w:r w:rsidR="007D3915">
        <w:t xml:space="preserve"> - </w:t>
      </w:r>
      <w:r>
        <w:t>both UE and IAB-MT are not barred</w:t>
      </w:r>
      <w:r w:rsidR="007D3915">
        <w:t xml:space="preserve">: MIB </w:t>
      </w:r>
      <w:proofErr w:type="spellStart"/>
      <w:r w:rsidR="007D3915" w:rsidRPr="007D3915">
        <w:rPr>
          <w:i/>
          <w:iCs/>
        </w:rPr>
        <w:t>CellBarred</w:t>
      </w:r>
      <w:proofErr w:type="spellEnd"/>
      <w:r w:rsidR="007D3915">
        <w:rPr>
          <w:i/>
          <w:iCs/>
        </w:rPr>
        <w:t xml:space="preserve"> </w:t>
      </w:r>
      <w:r w:rsidR="007D3915">
        <w:t xml:space="preserve">== </w:t>
      </w:r>
      <w:proofErr w:type="spellStart"/>
      <w:r w:rsidR="007D3915" w:rsidRPr="007D3915">
        <w:t>notBarred</w:t>
      </w:r>
      <w:proofErr w:type="spellEnd"/>
      <w:r w:rsidR="007D3915">
        <w:t xml:space="preserve">, </w:t>
      </w:r>
      <w:proofErr w:type="spellStart"/>
      <w:r w:rsidR="007D3915" w:rsidRPr="00D21296">
        <w:rPr>
          <w:i/>
          <w:iCs/>
        </w:rPr>
        <w:t>iab</w:t>
      </w:r>
      <w:proofErr w:type="spellEnd"/>
      <w:r w:rsidR="007D3915" w:rsidRPr="00D21296">
        <w:rPr>
          <w:i/>
          <w:iCs/>
        </w:rPr>
        <w:t>-Support</w:t>
      </w:r>
      <w:r w:rsidR="007D3915">
        <w:rPr>
          <w:i/>
          <w:iCs/>
        </w:rPr>
        <w:t xml:space="preserve"> </w:t>
      </w:r>
      <w:r w:rsidR="007D3915">
        <w:t>== True.</w:t>
      </w:r>
    </w:p>
    <w:p w14:paraId="375CF578" w14:textId="67A4E470" w:rsidR="001708C4" w:rsidRDefault="001708C4" w:rsidP="001708C4">
      <w:r>
        <w:t>Case 2</w:t>
      </w:r>
      <w:r w:rsidR="007D3915">
        <w:t xml:space="preserve"> - </w:t>
      </w:r>
      <w:r>
        <w:t>both UE and IAB-MT are barred</w:t>
      </w:r>
      <w:r w:rsidR="007D3915">
        <w:t>:</w:t>
      </w:r>
      <w:r w:rsidR="007D3915" w:rsidRPr="007D3915">
        <w:t xml:space="preserve"> </w:t>
      </w:r>
      <w:r w:rsidR="007D3915">
        <w:t xml:space="preserve">MIB </w:t>
      </w:r>
      <w:proofErr w:type="spellStart"/>
      <w:r w:rsidR="007D3915" w:rsidRPr="007D3915">
        <w:rPr>
          <w:i/>
          <w:iCs/>
        </w:rPr>
        <w:t>CellBarred</w:t>
      </w:r>
      <w:proofErr w:type="spellEnd"/>
      <w:r w:rsidR="007D3915">
        <w:rPr>
          <w:i/>
          <w:iCs/>
        </w:rPr>
        <w:t xml:space="preserve"> </w:t>
      </w:r>
      <w:r w:rsidR="007D3915">
        <w:t>== b</w:t>
      </w:r>
      <w:r w:rsidR="007D3915" w:rsidRPr="007D3915">
        <w:t>arred</w:t>
      </w:r>
      <w:r w:rsidR="007D3915">
        <w:t xml:space="preserve">, </w:t>
      </w:r>
      <w:proofErr w:type="spellStart"/>
      <w:r w:rsidR="007D3915" w:rsidRPr="00D21296">
        <w:rPr>
          <w:i/>
          <w:iCs/>
        </w:rPr>
        <w:t>iab</w:t>
      </w:r>
      <w:proofErr w:type="spellEnd"/>
      <w:r w:rsidR="007D3915" w:rsidRPr="00D21296">
        <w:rPr>
          <w:i/>
          <w:iCs/>
        </w:rPr>
        <w:t>-Support</w:t>
      </w:r>
      <w:r w:rsidR="007D3915">
        <w:rPr>
          <w:i/>
          <w:iCs/>
        </w:rPr>
        <w:t xml:space="preserve"> </w:t>
      </w:r>
      <w:r w:rsidR="007D3915">
        <w:t>{not configured in SIB1}</w:t>
      </w:r>
    </w:p>
    <w:p w14:paraId="0441C7E7" w14:textId="72406002" w:rsidR="001708C4" w:rsidRDefault="001708C4" w:rsidP="001708C4">
      <w:r>
        <w:t>Case 3</w:t>
      </w:r>
      <w:r w:rsidR="007D3915">
        <w:t xml:space="preserve"> - UE not barred, </w:t>
      </w:r>
      <w:r>
        <w:t>IAB-MT is barred</w:t>
      </w:r>
      <w:r w:rsidR="007D3915">
        <w:t xml:space="preserve">: MIB </w:t>
      </w:r>
      <w:proofErr w:type="spellStart"/>
      <w:r w:rsidR="007D3915" w:rsidRPr="007D3915">
        <w:rPr>
          <w:i/>
          <w:iCs/>
        </w:rPr>
        <w:t>CellBarred</w:t>
      </w:r>
      <w:proofErr w:type="spellEnd"/>
      <w:r w:rsidR="007D3915">
        <w:rPr>
          <w:i/>
          <w:iCs/>
        </w:rPr>
        <w:t xml:space="preserve"> </w:t>
      </w:r>
      <w:r w:rsidR="007D3915">
        <w:t xml:space="preserve">== </w:t>
      </w:r>
      <w:proofErr w:type="spellStart"/>
      <w:r w:rsidR="007D3915" w:rsidRPr="007D3915">
        <w:t>notBarred</w:t>
      </w:r>
      <w:proofErr w:type="spellEnd"/>
      <w:r w:rsidR="007D3915">
        <w:t xml:space="preserve">, </w:t>
      </w:r>
      <w:proofErr w:type="spellStart"/>
      <w:r w:rsidR="007D3915" w:rsidRPr="00D21296">
        <w:rPr>
          <w:i/>
          <w:iCs/>
        </w:rPr>
        <w:t>iab</w:t>
      </w:r>
      <w:proofErr w:type="spellEnd"/>
      <w:r w:rsidR="007D3915" w:rsidRPr="00D21296">
        <w:rPr>
          <w:i/>
          <w:iCs/>
        </w:rPr>
        <w:t>-Support</w:t>
      </w:r>
      <w:r w:rsidR="007D3915">
        <w:rPr>
          <w:i/>
          <w:iCs/>
        </w:rPr>
        <w:t xml:space="preserve"> </w:t>
      </w:r>
      <w:r w:rsidR="007D3915">
        <w:t>{not configured in SIB1}</w:t>
      </w:r>
    </w:p>
    <w:p w14:paraId="6A9E8B15" w14:textId="10D1272E" w:rsidR="001708C4" w:rsidRDefault="001708C4" w:rsidP="001708C4">
      <w:r>
        <w:t>Case 4</w:t>
      </w:r>
      <w:r w:rsidR="007D3915" w:rsidRPr="007D3915">
        <w:t xml:space="preserve"> </w:t>
      </w:r>
      <w:r w:rsidR="007D3915">
        <w:t>- UE is barred, IAB-MT not barred:</w:t>
      </w:r>
      <w:r>
        <w:t xml:space="preserve"> </w:t>
      </w:r>
      <w:r w:rsidR="007D3915">
        <w:t xml:space="preserve">MIB </w:t>
      </w:r>
      <w:proofErr w:type="spellStart"/>
      <w:r w:rsidR="007D3915" w:rsidRPr="007D3915">
        <w:rPr>
          <w:i/>
          <w:iCs/>
        </w:rPr>
        <w:t>CellBarred</w:t>
      </w:r>
      <w:proofErr w:type="spellEnd"/>
      <w:r w:rsidR="007D3915">
        <w:rPr>
          <w:i/>
          <w:iCs/>
        </w:rPr>
        <w:t xml:space="preserve"> </w:t>
      </w:r>
      <w:r w:rsidR="007D3915">
        <w:t>== b</w:t>
      </w:r>
      <w:r w:rsidR="007D3915" w:rsidRPr="007D3915">
        <w:t>arred</w:t>
      </w:r>
      <w:r w:rsidR="007D3915">
        <w:t xml:space="preserve">, </w:t>
      </w:r>
      <w:proofErr w:type="spellStart"/>
      <w:r w:rsidR="007D3915" w:rsidRPr="00D21296">
        <w:rPr>
          <w:i/>
          <w:iCs/>
        </w:rPr>
        <w:t>iab</w:t>
      </w:r>
      <w:proofErr w:type="spellEnd"/>
      <w:r w:rsidR="007D3915" w:rsidRPr="00D21296">
        <w:rPr>
          <w:i/>
          <w:iCs/>
        </w:rPr>
        <w:t>-Support</w:t>
      </w:r>
      <w:r w:rsidR="007D3915">
        <w:rPr>
          <w:i/>
          <w:iCs/>
        </w:rPr>
        <w:t xml:space="preserve"> </w:t>
      </w:r>
      <w:r w:rsidR="007D3915">
        <w:t>== True.</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55080378" w14:textId="0B0C1AE4" w:rsidR="004E06D8" w:rsidRPr="00746130" w:rsidRDefault="00034015" w:rsidP="00746130">
      <w:pPr>
        <w:pStyle w:val="B1"/>
        <w:spacing w:after="120"/>
        <w:ind w:left="0" w:firstLine="0"/>
      </w:pPr>
      <w:r>
        <w:t>In this paper, we discuss</w:t>
      </w:r>
      <w:r w:rsidR="00727245">
        <w:t>ed</w:t>
      </w:r>
      <w:r>
        <w:t xml:space="preserve"> </w:t>
      </w:r>
      <w:r w:rsidR="00332726">
        <w:t>how to configure differential barring for IAB node MTs and UEs</w:t>
      </w:r>
      <w:r>
        <w:t xml:space="preserve">. We have the following </w:t>
      </w:r>
      <w:r w:rsidR="00332726">
        <w:t xml:space="preserve">observation and </w:t>
      </w:r>
      <w:r w:rsidR="004E06D8">
        <w:t>proposal</w:t>
      </w:r>
      <w:r w:rsidR="005F25C7">
        <w:t>:</w:t>
      </w:r>
    </w:p>
    <w:p w14:paraId="39BB3B0F" w14:textId="5ED57E8C" w:rsidR="00332726" w:rsidRDefault="00332726" w:rsidP="00332726">
      <w:pPr>
        <w:rPr>
          <w:b/>
        </w:rPr>
      </w:pPr>
      <w:r>
        <w:rPr>
          <w:b/>
        </w:rPr>
        <w:t>Observation</w:t>
      </w:r>
      <w:r w:rsidRPr="007667E2">
        <w:rPr>
          <w:b/>
        </w:rPr>
        <w:t xml:space="preserve">: </w:t>
      </w:r>
      <w:r>
        <w:rPr>
          <w:b/>
        </w:rPr>
        <w:t>It is desirable for regular UEs to detect that a cell is barred, and to be able to reselect to a different cell or frequency with minimal delay.</w:t>
      </w:r>
    </w:p>
    <w:p w14:paraId="2F79E52B" w14:textId="128F6B31" w:rsidR="004E06D8" w:rsidRDefault="00332726" w:rsidP="00A67A78">
      <w:pPr>
        <w:rPr>
          <w:b/>
        </w:rPr>
      </w:pPr>
      <w:r w:rsidRPr="007667E2">
        <w:rPr>
          <w:b/>
        </w:rPr>
        <w:t xml:space="preserve">Proposal: </w:t>
      </w:r>
      <w:r>
        <w:rPr>
          <w:b/>
        </w:rPr>
        <w:t>An IAB node MT</w:t>
      </w:r>
      <w:r w:rsidRPr="007D3915">
        <w:rPr>
          <w:b/>
        </w:rPr>
        <w:t xml:space="preserve"> ignores the value of MIB </w:t>
      </w:r>
      <w:proofErr w:type="spellStart"/>
      <w:r w:rsidRPr="007D3915">
        <w:rPr>
          <w:b/>
        </w:rPr>
        <w:t>cellBarred</w:t>
      </w:r>
      <w:proofErr w:type="spellEnd"/>
      <w:r w:rsidR="004E06D8">
        <w:rPr>
          <w:b/>
        </w:rPr>
        <w:t>.</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126C9A09" w:rsidR="00021011" w:rsidRDefault="002E16A8" w:rsidP="002E16A8">
      <w:r>
        <w:t xml:space="preserve">[1] </w:t>
      </w:r>
      <w:r w:rsidR="00A35D19">
        <w:t>Chairman notes of</w:t>
      </w:r>
      <w:r w:rsidR="00A35D19" w:rsidRPr="00A35D19">
        <w:t xml:space="preserve"> </w:t>
      </w:r>
      <w:r w:rsidR="00A35D19">
        <w:t>RAN2 #10</w:t>
      </w:r>
      <w:r w:rsidR="00D21296">
        <w:t>8</w:t>
      </w:r>
      <w:r w:rsidR="00A35D19">
        <w:t xml:space="preserve"> meeting.</w:t>
      </w:r>
    </w:p>
    <w:p w14:paraId="68B33816" w14:textId="678D6178" w:rsidR="00721E6B" w:rsidRPr="002E16A8" w:rsidRDefault="00021011" w:rsidP="00332726">
      <w:pPr>
        <w:ind w:left="270" w:hanging="270"/>
      </w:pPr>
      <w:r>
        <w:t xml:space="preserve">[2] </w:t>
      </w:r>
      <w:r w:rsidR="00276F21" w:rsidRPr="00276F21">
        <w:t>R2-</w:t>
      </w:r>
      <w:r w:rsidRPr="00021011">
        <w:t>1915478</w:t>
      </w:r>
      <w:r w:rsidR="00276F21">
        <w:t xml:space="preserve">, </w:t>
      </w:r>
      <w:r w:rsidRPr="00021011">
        <w:t>Summary for Email Discussion [107bis#40] [IAB] SI Broad</w:t>
      </w:r>
      <w:r>
        <w:t>c</w:t>
      </w:r>
      <w:r w:rsidRPr="00021011">
        <w:t>ast, barring, Initial access, Connection setup (Ericsson)</w:t>
      </w:r>
      <w:r w:rsidR="00C353BF">
        <w:t>, RAN2#10</w:t>
      </w:r>
      <w:bookmarkEnd w:id="1"/>
      <w:bookmarkEnd w:id="2"/>
      <w:r>
        <w:t>8</w:t>
      </w:r>
    </w:p>
    <w:sectPr w:rsidR="00721E6B" w:rsidRPr="002E16A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6D01" w14:textId="77777777" w:rsidR="00B67B67" w:rsidRDefault="00B67B67" w:rsidP="00796430">
      <w:r>
        <w:separator/>
      </w:r>
    </w:p>
  </w:endnote>
  <w:endnote w:type="continuationSeparator" w:id="0">
    <w:p w14:paraId="06ECF44C" w14:textId="77777777" w:rsidR="00B67B67" w:rsidRDefault="00B67B6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6D5F0" w14:textId="77777777" w:rsidR="00B67B67" w:rsidRDefault="00B67B67" w:rsidP="00796430">
      <w:r>
        <w:separator/>
      </w:r>
    </w:p>
  </w:footnote>
  <w:footnote w:type="continuationSeparator" w:id="0">
    <w:p w14:paraId="14AEDFDE" w14:textId="77777777" w:rsidR="00B67B67" w:rsidRDefault="00B67B6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8"/>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0"/>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 w:numId="38">
    <w:abstractNumId w:val="27"/>
  </w:num>
  <w:num w:numId="3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7B5"/>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8C4"/>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5CB5"/>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26C"/>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726"/>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1D73"/>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5447"/>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1EF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915"/>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33"/>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4DA"/>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C60"/>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81"/>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67B6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296"/>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06CE1-C309-4712-9D60-10858BEB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92</TotalTime>
  <Pages>2</Pages>
  <Words>833</Words>
  <Characters>4750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10</cp:revision>
  <cp:lastPrinted>2019-10-03T15:31:00Z</cp:lastPrinted>
  <dcterms:created xsi:type="dcterms:W3CDTF">2020-02-14T03:35:00Z</dcterms:created>
  <dcterms:modified xsi:type="dcterms:W3CDTF">2020-02-14T06:02:00Z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1581483213</vt:lpwstr>
  </property>
</Properties>
</file>